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E2" w:rsidRDefault="002278E2" w:rsidP="002278E2">
      <w:pPr>
        <w:jc w:val="center"/>
        <w:rPr>
          <w:b/>
          <w:sz w:val="20"/>
        </w:rPr>
      </w:pPr>
      <w:r w:rsidRPr="00512098">
        <w:rPr>
          <w:b/>
          <w:sz w:val="32"/>
          <w:szCs w:val="32"/>
        </w:rPr>
        <w:t>Social Workers and the California Same-Sex Marriage Cases</w:t>
      </w:r>
    </w:p>
    <w:p w:rsidR="002278E2" w:rsidRPr="002278E2" w:rsidRDefault="002278E2" w:rsidP="002278E2">
      <w:pPr>
        <w:jc w:val="center"/>
        <w:rPr>
          <w:b/>
          <w:sz w:val="20"/>
        </w:rPr>
      </w:pPr>
    </w:p>
    <w:p w:rsidR="002278E2" w:rsidRDefault="002278E2" w:rsidP="002278E2">
      <w:pPr>
        <w:jc w:val="center"/>
      </w:pPr>
      <w:r>
        <w:t>By Sherri Morgan, LDF Associate Counsel, and Carolyn I. Polowy, NASW General Counsel</w:t>
      </w:r>
    </w:p>
    <w:p w:rsidR="002278E2" w:rsidRDefault="002278E2" w:rsidP="002278E2">
      <w:pPr>
        <w:jc w:val="center"/>
        <w:rPr>
          <w:sz w:val="20"/>
        </w:rPr>
      </w:pPr>
    </w:p>
    <w:p w:rsidR="002278E2" w:rsidRDefault="002278E2" w:rsidP="002278E2">
      <w:pPr>
        <w:jc w:val="center"/>
      </w:pPr>
      <w:proofErr w:type="gramStart"/>
      <w:r w:rsidRPr="002278E2">
        <w:t>©2008 National Association of Social Workers.</w:t>
      </w:r>
      <w:proofErr w:type="gramEnd"/>
      <w:r w:rsidRPr="002278E2">
        <w:t xml:space="preserve"> All Rights Reserved</w:t>
      </w:r>
      <w:r>
        <w:rPr>
          <w:rFonts w:ascii="Calibri" w:hAnsi="Calibri"/>
        </w:rPr>
        <w:t>.</w:t>
      </w:r>
    </w:p>
    <w:p w:rsidR="002278E2" w:rsidRDefault="002278E2" w:rsidP="002278E2">
      <w:pPr>
        <w:rPr>
          <w:b/>
        </w:rPr>
      </w:pPr>
    </w:p>
    <w:p w:rsidR="002278E2" w:rsidRPr="00512098" w:rsidRDefault="002278E2" w:rsidP="002278E2">
      <w:pPr>
        <w:rPr>
          <w:b/>
        </w:rPr>
      </w:pPr>
      <w:r w:rsidRPr="00512098">
        <w:rPr>
          <w:b/>
        </w:rPr>
        <w:t>Introduction</w:t>
      </w:r>
    </w:p>
    <w:p w:rsidR="002278E2" w:rsidRDefault="002278E2" w:rsidP="002278E2">
      <w:r>
        <w:t xml:space="preserve">More than four years after thousands of same-sex couples obtained marriage licenses and participated in marriage ceremonies in San Francisco, the Supreme Court of California issued a landmark decision on the rights of individuals to marry a person of the same gender in that state.  That decision was issued on May 15, 2008 in </w:t>
      </w:r>
      <w:proofErr w:type="spellStart"/>
      <w:r w:rsidRPr="001A2936">
        <w:rPr>
          <w:i/>
        </w:rPr>
        <w:t>In</w:t>
      </w:r>
      <w:proofErr w:type="spellEnd"/>
      <w:r w:rsidRPr="001A2936">
        <w:rPr>
          <w:i/>
        </w:rPr>
        <w:t xml:space="preserve"> re Marriage Cases </w:t>
      </w:r>
      <w:r>
        <w:rPr>
          <w:rStyle w:val="documentbody1"/>
          <w:color w:val="000000"/>
        </w:rPr>
        <w:t xml:space="preserve">(2008), a </w:t>
      </w:r>
      <w:r>
        <w:t>consolidated appeal of six cases addressing the right of same sex persons to marry in California.  The intense public interest in the outcome in this case was evidenced by the numerous organizations and individuals that filed briefs as friends of the court.  This “Legal Issue of the Month” article reviews and analyzes the California court’s decision which upholds NASW’s position on same-sex marriage.</w:t>
      </w:r>
    </w:p>
    <w:p w:rsidR="002278E2" w:rsidRDefault="002278E2" w:rsidP="002278E2">
      <w:pPr>
        <w:rPr>
          <w:b/>
        </w:rPr>
      </w:pPr>
    </w:p>
    <w:p w:rsidR="002278E2" w:rsidRPr="00512098" w:rsidRDefault="002278E2" w:rsidP="002278E2">
      <w:pPr>
        <w:rPr>
          <w:b/>
        </w:rPr>
      </w:pPr>
      <w:r w:rsidRPr="00512098">
        <w:rPr>
          <w:b/>
        </w:rPr>
        <w:t>Background of NASW Involvement</w:t>
      </w:r>
    </w:p>
    <w:p w:rsidR="002278E2" w:rsidRDefault="002278E2" w:rsidP="002278E2">
      <w:r>
        <w:t xml:space="preserve">The National Association of Social Workers (NASW) joined an </w:t>
      </w:r>
      <w:r w:rsidRPr="00512098">
        <w:rPr>
          <w:i/>
        </w:rPr>
        <w:t>amicus curiae</w:t>
      </w:r>
      <w:r>
        <w:t xml:space="preserve"> brief in </w:t>
      </w:r>
      <w:proofErr w:type="spellStart"/>
      <w:r w:rsidRPr="006B5C4A">
        <w:rPr>
          <w:i/>
        </w:rPr>
        <w:t>In</w:t>
      </w:r>
      <w:proofErr w:type="spellEnd"/>
      <w:r w:rsidRPr="006B5C4A">
        <w:rPr>
          <w:i/>
        </w:rPr>
        <w:t xml:space="preserve"> re Marriage Cases</w:t>
      </w:r>
      <w:r>
        <w:t xml:space="preserve"> that was filed by the American Psychological Association.  The brief reviewed the scientific literature regarding sexual orientation and homosexuality, arguing that homosexuality is a normal expression of human sexuality, that gay men and lesbian women  form stable, committed relationships that are equivalent to heterosexual relationships, that marriage offers significant benefits that are denied to homosexual couples, that gay and lesbian couples with children are as fit and capable as heterosexual parents to raise psychologically healthy children, and that denying homosexual couples the right to marry perpetuates the social stigma associated with homosexuality. </w:t>
      </w:r>
    </w:p>
    <w:p w:rsidR="009D6CC7" w:rsidRDefault="009D6CC7" w:rsidP="002278E2"/>
    <w:p w:rsidR="002278E2" w:rsidRDefault="002278E2" w:rsidP="002278E2">
      <w:r>
        <w:t xml:space="preserve">NASW’s support for the rights of same-sex couples to marry and have equal recognition of familial rights is based on the NASW </w:t>
      </w:r>
      <w:r w:rsidRPr="000A5811">
        <w:rPr>
          <w:i/>
        </w:rPr>
        <w:t>Code of Ethics’</w:t>
      </w:r>
      <w:r>
        <w:t xml:space="preserve"> prohibition on discrimination based on sexual orientation and social workers’ traditional advocacy for exploited and vulnerable people.  NASW’s policy statements support advocacy for equal rights for gay and lesbian people (NASW, 2006) and the NASW Board of Directors specifically re-affirmed the association’s support for same-sex marriage in 2004 (NASW, June 2004).</w:t>
      </w:r>
    </w:p>
    <w:p w:rsidR="009D6CC7" w:rsidRDefault="009D6CC7" w:rsidP="002278E2"/>
    <w:p w:rsidR="002278E2" w:rsidRDefault="002278E2" w:rsidP="002278E2">
      <w:r>
        <w:t>NASW’s involvement as a friend of the court on same-sex marriage cases has been substantial.  NASW has filed or joined amicus briefs addressing same-sex marriage rights in Massachusetts, New York, Iowa (decision pending), Oregon, New Jersey, Maryland, Nebraska, and Connecticut (decision pending), as well as numerous cases seeking recognition of gay and lesbian parents’ rights to seek custody and/or visitation of their minor children in the event of a domestic separation or dissolution.</w:t>
      </w:r>
    </w:p>
    <w:p w:rsidR="002278E2" w:rsidRDefault="002278E2" w:rsidP="002278E2">
      <w:pPr>
        <w:rPr>
          <w:b/>
        </w:rPr>
      </w:pPr>
    </w:p>
    <w:p w:rsidR="002278E2" w:rsidRPr="00512098" w:rsidRDefault="009D6CC7" w:rsidP="002278E2">
      <w:pPr>
        <w:rPr>
          <w:b/>
        </w:rPr>
      </w:pPr>
      <w:r>
        <w:rPr>
          <w:b/>
        </w:rPr>
        <w:br w:type="page"/>
      </w:r>
      <w:r w:rsidR="002278E2" w:rsidRPr="00512098">
        <w:rPr>
          <w:b/>
        </w:rPr>
        <w:lastRenderedPageBreak/>
        <w:t>California Supreme Court’s Decision</w:t>
      </w:r>
    </w:p>
    <w:p w:rsidR="002278E2" w:rsidRDefault="002278E2" w:rsidP="002278E2">
      <w:r>
        <w:t xml:space="preserve">Several aspects of the California high court’s decision in </w:t>
      </w:r>
      <w:proofErr w:type="spellStart"/>
      <w:r w:rsidRPr="007E4494">
        <w:rPr>
          <w:i/>
        </w:rPr>
        <w:t>In</w:t>
      </w:r>
      <w:proofErr w:type="spellEnd"/>
      <w:r w:rsidRPr="007E4494">
        <w:rPr>
          <w:i/>
        </w:rPr>
        <w:t xml:space="preserve"> re Marriage Cases</w:t>
      </w:r>
      <w:r>
        <w:t xml:space="preserve"> are notable.  Prior to this decision, California already had available comprehensive domestic partnership legislation (Cal. Fam. Code § 297.5) providing same-sex couples with nearly equivalent benefits and privileges as their opposite-gender married counterparts.  As a result, in the instant case the court was focused directly on the question whether same-sex couples had a right to “marriage” </w:t>
      </w:r>
      <w:r w:rsidRPr="007E4494">
        <w:rPr>
          <w:i/>
        </w:rPr>
        <w:t xml:space="preserve">per se </w:t>
      </w:r>
      <w:r>
        <w:t xml:space="preserve">under the state constitution.  </w:t>
      </w:r>
    </w:p>
    <w:p w:rsidR="002278E2" w:rsidRDefault="002278E2" w:rsidP="002278E2"/>
    <w:p w:rsidR="002278E2" w:rsidRDefault="002278E2" w:rsidP="002278E2">
      <w:r>
        <w:t>As a foundational matter, the California Supreme Court concluded that the right to marry is a substantive right under the state constitution that encompasses the right to establish an “</w:t>
      </w:r>
      <w:r w:rsidRPr="007E4494">
        <w:rPr>
          <w:i/>
        </w:rPr>
        <w:t xml:space="preserve">officially recognized and protected family </w:t>
      </w:r>
      <w:r>
        <w:t>possessing mutual rights and responsibilities and entitled to the same respect and dignity accorded a union traditionally designated as marriage” (</w:t>
      </w:r>
      <w:r w:rsidRPr="0006686D">
        <w:rPr>
          <w:i/>
        </w:rPr>
        <w:t>In re Marriage Cases</w:t>
      </w:r>
      <w:r>
        <w:t xml:space="preserve">, at *781 (2008)).  The court’s recognition of a constitutional right to marry was based on a line of cases including </w:t>
      </w:r>
      <w:r w:rsidRPr="003D25CD">
        <w:rPr>
          <w:i/>
        </w:rPr>
        <w:t xml:space="preserve">Perez v. </w:t>
      </w:r>
      <w:proofErr w:type="spellStart"/>
      <w:r w:rsidRPr="003D25CD">
        <w:rPr>
          <w:i/>
        </w:rPr>
        <w:t>Lipold</w:t>
      </w:r>
      <w:proofErr w:type="spellEnd"/>
      <w:r>
        <w:t xml:space="preserve">, 198 P.2d 17 (1948) and </w:t>
      </w:r>
      <w:r w:rsidRPr="003D25CD">
        <w:rPr>
          <w:i/>
        </w:rPr>
        <w:t>Meyer v. Nebraska</w:t>
      </w:r>
      <w:r>
        <w:t>, 262 U.S. 390 (1923).  Based in part on the fact that California also recognizes the right of an individual to establish a loving relationship with another person and to jointly raise children and that this right does not depend on sexual orientation, the court concluded that the “California Constitution properly must be interpreted to guarantee this basic civil right to all Californians, whether gay or heterosexual, and to same-sex couples as well as to opposite-sex couples” (</w:t>
      </w:r>
      <w:r w:rsidRPr="0006686D">
        <w:rPr>
          <w:i/>
        </w:rPr>
        <w:t>Id.</w:t>
      </w:r>
      <w:r>
        <w:t xml:space="preserve"> at *782).  </w:t>
      </w:r>
    </w:p>
    <w:p w:rsidR="002278E2" w:rsidRDefault="002278E2" w:rsidP="002278E2"/>
    <w:p w:rsidR="002278E2" w:rsidRDefault="002278E2" w:rsidP="002278E2">
      <w:r>
        <w:t>The court declined to decide whether the fundamental right to marry included the use of the term “marriage,” but it held that to have different terms for same-sex couples’ relationships and opposite-sex couples’ relationships was a violation of the right to marry and a violation of the state constitutional equal protection provision.  Using this reasoning, the options available to the court were to either strike down all California marriages as unconstitutional or to include same-sex couples in the marriage laws.  The court stated, “Extending access to the designation of marriage to same-sex couples will not deprive any opposite-gender couple or their children of any of the rights and benefits conferred by the marriage statutes, but simply will make the benefit of the marriage designation available to same-sex couples and their children” (</w:t>
      </w:r>
      <w:r w:rsidRPr="0006686D">
        <w:rPr>
          <w:i/>
        </w:rPr>
        <w:t>Id.</w:t>
      </w:r>
      <w:r>
        <w:t xml:space="preserve">, at *854).  </w:t>
      </w:r>
    </w:p>
    <w:p w:rsidR="002278E2" w:rsidRDefault="002278E2" w:rsidP="002278E2"/>
    <w:p w:rsidR="002278E2" w:rsidRDefault="002278E2" w:rsidP="002278E2">
      <w:r>
        <w:t>From a legal perspective, the most striking component of the California decision is the court’s application of the highest level of legal review, “strict scrutiny,” to laws that distinguish individuals on the basis of sexual orientation.  This adds to the minority of court decisions holding sexual orientation discrimination to the same level of analysis as race and religion and stating that, like gender, race and religion, classifications made on the basis of sexual orientation are constitutionally “suspect” (</w:t>
      </w:r>
      <w:r w:rsidRPr="0006686D">
        <w:rPr>
          <w:i/>
        </w:rPr>
        <w:t>Id.</w:t>
      </w:r>
      <w:r>
        <w:rPr>
          <w:i/>
        </w:rPr>
        <w:t>,</w:t>
      </w:r>
      <w:r>
        <w:t xml:space="preserve"> at *784).  This is a watershed ruling that provides a foundation for fundamental change in the treatment of sexual orientation in the law.  </w:t>
      </w:r>
    </w:p>
    <w:p w:rsidR="002278E2" w:rsidRDefault="002278E2" w:rsidP="002278E2"/>
    <w:p w:rsidR="002278E2" w:rsidRDefault="002278E2" w:rsidP="002278E2">
      <w:r>
        <w:t>Using the required legal standard in strict scrutiny cases, the California court was unable to find that there was a compelling state interest that made it necessary for the government to have laws that differentiate between same-sex couples and opposite-sex couples in the use of the term “marriage.”  In fact, the court stated that to discriminate in the use of the term marriage would perpetuate an impermissible stigma on homosexual couples as “second class citizens” (</w:t>
      </w:r>
      <w:r w:rsidRPr="0006686D">
        <w:rPr>
          <w:i/>
        </w:rPr>
        <w:t>Id.</w:t>
      </w:r>
      <w:r>
        <w:rPr>
          <w:i/>
        </w:rPr>
        <w:t>,</w:t>
      </w:r>
      <w:r>
        <w:t xml:space="preserve"> at *785).</w:t>
      </w:r>
    </w:p>
    <w:p w:rsidR="002278E2" w:rsidRDefault="002278E2" w:rsidP="002278E2"/>
    <w:p w:rsidR="002278E2" w:rsidRDefault="002278E2" w:rsidP="002278E2">
      <w:r>
        <w:t xml:space="preserve">The court reviewed the historical interpretation of California’s marriage laws as applying to a marriage between one man and one woman.  Specific legislative language to this effect was passed in 1977.  The court concluded that the state constitution was also a reflection of the “will of the people” affording a legitimate basis for an evolving legal interpretation of the state’s marriage laws. </w:t>
      </w:r>
    </w:p>
    <w:p w:rsidR="002278E2" w:rsidRDefault="002278E2" w:rsidP="002278E2">
      <w:pPr>
        <w:rPr>
          <w:b/>
        </w:rPr>
      </w:pPr>
    </w:p>
    <w:p w:rsidR="002278E2" w:rsidRPr="00247B1C" w:rsidRDefault="002278E2" w:rsidP="002278E2">
      <w:pPr>
        <w:rPr>
          <w:b/>
        </w:rPr>
      </w:pPr>
      <w:r w:rsidRPr="00247B1C">
        <w:rPr>
          <w:b/>
        </w:rPr>
        <w:lastRenderedPageBreak/>
        <w:t>Analysis and Conclusions</w:t>
      </w:r>
    </w:p>
    <w:p w:rsidR="002278E2" w:rsidRDefault="002278E2" w:rsidP="002278E2">
      <w:r>
        <w:t xml:space="preserve">NASW hailed the California court’s decision recognizing that the right to marry applies equally to same-sex couples as well as opposite-sex couples.  Unlike some sister states that have declined to find a right to marriage that is applicable to same-sex couples, the California court recognized the right to marry as a fundamental right of the individual.  The court scrutinized the California marriage statutes and evaluated how exclusion of same-sex couples impaired the individuals’ right to marry under the California constitution’s </w:t>
      </w:r>
      <w:r w:rsidRPr="00B27AF3">
        <w:rPr>
          <w:color w:val="000000"/>
        </w:rPr>
        <w:t>guarantees of privacy, due process, and equal protection under the law.</w:t>
      </w:r>
      <w:r>
        <w:rPr>
          <w:rFonts w:ascii="Verdana" w:hAnsi="Verdana"/>
          <w:color w:val="000000"/>
          <w:sz w:val="17"/>
          <w:szCs w:val="17"/>
        </w:rPr>
        <w:t xml:space="preserve">  </w:t>
      </w:r>
      <w:r>
        <w:t xml:space="preserve">By contrast, two states that have reviewed the right to marry as a constitutional issue and have declined to recognize such a right have based it on conclusions that there is not a fundamental right to marry a person </w:t>
      </w:r>
      <w:r w:rsidRPr="004B7510">
        <w:rPr>
          <w:i/>
        </w:rPr>
        <w:t xml:space="preserve">of the same sex </w:t>
      </w:r>
      <w:r>
        <w:t>(</w:t>
      </w:r>
      <w:r w:rsidRPr="00681FAC">
        <w:rPr>
          <w:i/>
        </w:rPr>
        <w:t>Hernandez v. Robles</w:t>
      </w:r>
      <w:r>
        <w:t xml:space="preserve">, </w:t>
      </w:r>
      <w:r w:rsidRPr="00681FAC">
        <w:rPr>
          <w:rStyle w:val="informationalsmall3"/>
          <w:rFonts w:asciiTheme="minorHAnsi" w:hAnsiTheme="minorHAnsi"/>
          <w:color w:val="000000"/>
          <w:sz w:val="22"/>
          <w:szCs w:val="22"/>
        </w:rPr>
        <w:t>7 N.Y.3d 338, *374 (2006)</w:t>
      </w:r>
      <w:r w:rsidRPr="00681FAC">
        <w:t>;</w:t>
      </w:r>
      <w:r>
        <w:t xml:space="preserve"> </w:t>
      </w:r>
      <w:r w:rsidRPr="00681FAC">
        <w:rPr>
          <w:i/>
        </w:rPr>
        <w:t>Conaway v. Deane</w:t>
      </w:r>
      <w:r>
        <w:t xml:space="preserve">, </w:t>
      </w:r>
      <w:r>
        <w:rPr>
          <w:rFonts w:ascii="Verdana" w:hAnsi="Verdana"/>
          <w:color w:val="000000"/>
          <w:sz w:val="19"/>
          <w:szCs w:val="19"/>
        </w:rPr>
        <w:t>401 Md. 219, *307 (2007)</w:t>
      </w:r>
      <w:r>
        <w:t>).</w:t>
      </w:r>
    </w:p>
    <w:p w:rsidR="002278E2" w:rsidRDefault="002278E2" w:rsidP="002278E2"/>
    <w:p w:rsidR="002278E2" w:rsidRDefault="002278E2" w:rsidP="002278E2">
      <w:r>
        <w:t xml:space="preserve">When a fundamental constitutional right is not under review, the courts are not required to apply the “strict scrutiny” standard of review, and typically the discriminatory ban on same-sex marriage under such an analysis is upheld on the basis that it is “rationally related” to some legitimate interest of the state.  Typically, almost any basis given for a law will meet the rational basis standard.  However, in Iowa, a trial court reviewing the right to marriage for same-sex couples determined that a prohibition against such marriages did not meet even the rational basis standard.  The court found that the ban was based on traditional prejudice, rather than scientific knowledge about homosexuality and same-sex relationships, and that the ban was both under-inclusive and over-inclusive as a means to achieve the legitimate purposes cited by the state.  A review of this decision is pending in the Iowa Supreme Court in </w:t>
      </w:r>
      <w:proofErr w:type="spellStart"/>
      <w:r w:rsidRPr="002E06B7">
        <w:rPr>
          <w:i/>
        </w:rPr>
        <w:t>Varnum</w:t>
      </w:r>
      <w:proofErr w:type="spellEnd"/>
      <w:r w:rsidRPr="002E06B7">
        <w:rPr>
          <w:i/>
        </w:rPr>
        <w:t xml:space="preserve"> v. Brien</w:t>
      </w:r>
      <w:r>
        <w:rPr>
          <w:i/>
        </w:rPr>
        <w:t xml:space="preserve"> </w:t>
      </w:r>
      <w:r w:rsidRPr="000B4038">
        <w:t>(2007).</w:t>
      </w:r>
    </w:p>
    <w:p w:rsidR="002278E2" w:rsidRDefault="002278E2" w:rsidP="002278E2"/>
    <w:p w:rsidR="002278E2" w:rsidRDefault="002278E2" w:rsidP="002278E2">
      <w:r>
        <w:t>On June 2, 2008 a California constitutional amendment was qualified for inclusion on the November 4, 2008 ballot.  This initiative would “</w:t>
      </w:r>
      <w:r w:rsidRPr="00B27AF3">
        <w:t>amend the California Constitution to provide that only marriage between a man and a woman is valid or recognized in California”</w:t>
      </w:r>
      <w:r>
        <w:t xml:space="preserve"> (California Secretary of State Debra Bowen, 2008).  The outcome of the November election is being closely watched by all sides in the same-sex marriage debate.  Social workers as well as other advocates for equal rights for gay and lesbian couples have the opportunity in the coming months to promote fairness, tolerance and appreciation for the diversity of families in California.  Social workers in other states have the opportunity to build on the California court’s reasoning and judicial interpretation as they develop strategies for the promotion of equal rights in their own locale.</w:t>
      </w:r>
    </w:p>
    <w:p w:rsidR="002278E2" w:rsidRDefault="002278E2" w:rsidP="002278E2">
      <w:pPr>
        <w:rPr>
          <w:b/>
        </w:rPr>
      </w:pPr>
    </w:p>
    <w:p w:rsidR="002278E2" w:rsidRDefault="002278E2" w:rsidP="002278E2">
      <w:pPr>
        <w:rPr>
          <w:b/>
        </w:rPr>
      </w:pPr>
      <w:r w:rsidRPr="00247B1C">
        <w:rPr>
          <w:b/>
        </w:rPr>
        <w:t>References</w:t>
      </w:r>
    </w:p>
    <w:p w:rsidR="002278E2" w:rsidRPr="001A0E7F" w:rsidRDefault="002278E2" w:rsidP="002278E2">
      <w:pPr>
        <w:ind w:left="720" w:hanging="720"/>
      </w:pPr>
      <w:r w:rsidRPr="0006686D">
        <w:t xml:space="preserve">California Secretary of State Debra Bowen </w:t>
      </w:r>
      <w:r>
        <w:t xml:space="preserve">(2008). </w:t>
      </w:r>
      <w:r>
        <w:rPr>
          <w:i/>
        </w:rPr>
        <w:t>2008 ballot measure update, B</w:t>
      </w:r>
      <w:r w:rsidRPr="001A0E7F">
        <w:rPr>
          <w:i/>
        </w:rPr>
        <w:t xml:space="preserve">allot </w:t>
      </w:r>
      <w:r>
        <w:rPr>
          <w:i/>
        </w:rPr>
        <w:t>m</w:t>
      </w:r>
      <w:r w:rsidRPr="001A0E7F">
        <w:rPr>
          <w:i/>
        </w:rPr>
        <w:t xml:space="preserve">easure </w:t>
      </w:r>
      <w:r>
        <w:rPr>
          <w:i/>
        </w:rPr>
        <w:t>u</w:t>
      </w:r>
      <w:r w:rsidRPr="001A0E7F">
        <w:rPr>
          <w:i/>
        </w:rPr>
        <w:t>pdate as of June 2, 2008</w:t>
      </w:r>
      <w:r>
        <w:rPr>
          <w:i/>
        </w:rPr>
        <w:t xml:space="preserve">. </w:t>
      </w:r>
      <w:proofErr w:type="gramStart"/>
      <w:r>
        <w:t>[Online].</w:t>
      </w:r>
      <w:proofErr w:type="gramEnd"/>
      <w:r>
        <w:t xml:space="preserve">  Retrieved from </w:t>
      </w:r>
      <w:r>
        <w:rPr>
          <w:i/>
        </w:rPr>
        <w:t xml:space="preserve">  </w:t>
      </w:r>
      <w:hyperlink r:id="rId7" w:anchor="2008General" w:history="1">
        <w:r w:rsidRPr="001A0E7F">
          <w:rPr>
            <w:rStyle w:val="Hyperlink"/>
          </w:rPr>
          <w:t>http://www.sos.ca.gov/elections/elections_j_060208.htm#2008General</w:t>
        </w:r>
      </w:hyperlink>
      <w:r w:rsidRPr="001A0E7F">
        <w:t xml:space="preserve"> (last visited June 23, 2008).</w:t>
      </w:r>
    </w:p>
    <w:p w:rsidR="002278E2" w:rsidRDefault="002278E2" w:rsidP="002278E2">
      <w:pPr>
        <w:ind w:left="720" w:hanging="720"/>
        <w:rPr>
          <w:i/>
        </w:rPr>
      </w:pPr>
    </w:p>
    <w:p w:rsidR="002278E2" w:rsidRDefault="002278E2" w:rsidP="002278E2">
      <w:pPr>
        <w:ind w:left="720" w:hanging="720"/>
        <w:rPr>
          <w:rStyle w:val="documentbody1"/>
          <w:color w:val="000000"/>
        </w:rPr>
      </w:pPr>
      <w:proofErr w:type="gramStart"/>
      <w:r w:rsidRPr="0006686D">
        <w:rPr>
          <w:i/>
        </w:rPr>
        <w:t>In re Marriage Cases,</w:t>
      </w:r>
      <w:r>
        <w:t xml:space="preserve"> </w:t>
      </w:r>
      <w:r>
        <w:rPr>
          <w:rStyle w:val="documentbody1"/>
          <w:color w:val="000000"/>
        </w:rPr>
        <w:t>183 P.3d 384 (2008).</w:t>
      </w:r>
      <w:proofErr w:type="gramEnd"/>
    </w:p>
    <w:p w:rsidR="002278E2" w:rsidRDefault="002278E2" w:rsidP="002278E2">
      <w:pPr>
        <w:ind w:left="720" w:hanging="720"/>
      </w:pPr>
    </w:p>
    <w:p w:rsidR="002278E2" w:rsidRDefault="002278E2" w:rsidP="002278E2">
      <w:pPr>
        <w:ind w:left="720" w:hanging="720"/>
      </w:pPr>
      <w:proofErr w:type="gramStart"/>
      <w:r>
        <w:t>National Association of Social Workers (1999).</w:t>
      </w:r>
      <w:proofErr w:type="gramEnd"/>
      <w:r>
        <w:t xml:space="preserve">  </w:t>
      </w:r>
      <w:proofErr w:type="gramStart"/>
      <w:r w:rsidRPr="001A0E7F">
        <w:rPr>
          <w:i/>
        </w:rPr>
        <w:t>NASW code of ethics.</w:t>
      </w:r>
      <w:proofErr w:type="gramEnd"/>
      <w:r>
        <w:t xml:space="preserve">  </w:t>
      </w:r>
      <w:proofErr w:type="gramStart"/>
      <w:r>
        <w:t>[Online].</w:t>
      </w:r>
      <w:proofErr w:type="gramEnd"/>
      <w:r>
        <w:t xml:space="preserve">  Washington, DC:  Author.  Retrieved from </w:t>
      </w:r>
      <w:hyperlink r:id="rId8" w:history="1">
        <w:r w:rsidRPr="00BF47CD">
          <w:rPr>
            <w:rStyle w:val="Hyperlink"/>
          </w:rPr>
          <w:t>http://www.socialworkers.org/pubs/code/code.asp</w:t>
        </w:r>
      </w:hyperlink>
      <w:r>
        <w:t xml:space="preserve"> (last visited June 23, 2008).</w:t>
      </w:r>
    </w:p>
    <w:p w:rsidR="002278E2" w:rsidRDefault="002278E2" w:rsidP="002278E2">
      <w:pPr>
        <w:ind w:left="720" w:hanging="720"/>
      </w:pPr>
    </w:p>
    <w:p w:rsidR="002278E2" w:rsidRDefault="002278E2" w:rsidP="002278E2">
      <w:pPr>
        <w:ind w:left="720" w:hanging="720"/>
      </w:pPr>
      <w:r>
        <w:t xml:space="preserve">National Association of Social Workers (June 2004).  </w:t>
      </w:r>
      <w:proofErr w:type="gramStart"/>
      <w:r w:rsidRPr="008A604E">
        <w:rPr>
          <w:i/>
        </w:rPr>
        <w:t>Same-</w:t>
      </w:r>
      <w:r>
        <w:rPr>
          <w:i/>
        </w:rPr>
        <w:t>s</w:t>
      </w:r>
      <w:r w:rsidRPr="008A604E">
        <w:rPr>
          <w:i/>
        </w:rPr>
        <w:t xml:space="preserve">ex </w:t>
      </w:r>
      <w:r>
        <w:rPr>
          <w:i/>
        </w:rPr>
        <w:t>m</w:t>
      </w:r>
      <w:r w:rsidRPr="008A604E">
        <w:rPr>
          <w:i/>
        </w:rPr>
        <w:t xml:space="preserve">arriage </w:t>
      </w:r>
      <w:r>
        <w:rPr>
          <w:i/>
        </w:rPr>
        <w:t>p</w:t>
      </w:r>
      <w:r w:rsidRPr="008A604E">
        <w:rPr>
          <w:i/>
        </w:rPr>
        <w:t xml:space="preserve">osition </w:t>
      </w:r>
      <w:r>
        <w:rPr>
          <w:i/>
        </w:rPr>
        <w:t>s</w:t>
      </w:r>
      <w:r w:rsidRPr="008A604E">
        <w:rPr>
          <w:i/>
        </w:rPr>
        <w:t>tatement.</w:t>
      </w:r>
      <w:proofErr w:type="gramEnd"/>
      <w:r>
        <w:t xml:space="preserve">  </w:t>
      </w:r>
      <w:proofErr w:type="gramStart"/>
      <w:r>
        <w:t>[Online].</w:t>
      </w:r>
      <w:proofErr w:type="gramEnd"/>
      <w:r>
        <w:t xml:space="preserve">  Washington, DC:  Author.  Retrieved from </w:t>
      </w:r>
      <w:hyperlink r:id="rId9" w:history="1">
        <w:r w:rsidRPr="00BF47CD">
          <w:rPr>
            <w:rStyle w:val="Hyperlink"/>
          </w:rPr>
          <w:t>http://www.socialworkers.org/diversity/lgb/062804.asp</w:t>
        </w:r>
      </w:hyperlink>
      <w:r>
        <w:t xml:space="preserve"> (last visited June 23, 2008).</w:t>
      </w:r>
    </w:p>
    <w:p w:rsidR="002278E2" w:rsidRDefault="002278E2" w:rsidP="002278E2">
      <w:pPr>
        <w:ind w:left="720" w:hanging="720"/>
        <w:rPr>
          <w:i/>
        </w:rPr>
      </w:pPr>
    </w:p>
    <w:p w:rsidR="002278E2" w:rsidRPr="00EA0E8D" w:rsidRDefault="002278E2" w:rsidP="002278E2">
      <w:pPr>
        <w:ind w:left="720" w:hanging="720"/>
        <w:rPr>
          <w:bCs/>
          <w:iCs/>
        </w:rPr>
      </w:pPr>
      <w:proofErr w:type="gramStart"/>
      <w:r w:rsidRPr="00EA0E8D">
        <w:rPr>
          <w:bCs/>
          <w:iCs/>
        </w:rPr>
        <w:t>National Association of Social Workers (2006).</w:t>
      </w:r>
      <w:proofErr w:type="gramEnd"/>
      <w:r>
        <w:rPr>
          <w:bCs/>
          <w:i/>
          <w:iCs/>
        </w:rPr>
        <w:t xml:space="preserve">  Social work speaks, NASW policy statements, </w:t>
      </w:r>
      <w:r>
        <w:rPr>
          <w:bCs/>
          <w:iCs/>
        </w:rPr>
        <w:t>7</w:t>
      </w:r>
      <w:r w:rsidRPr="00EA0E8D">
        <w:rPr>
          <w:bCs/>
          <w:iCs/>
          <w:vertAlign w:val="superscript"/>
        </w:rPr>
        <w:t>th</w:t>
      </w:r>
      <w:r>
        <w:rPr>
          <w:bCs/>
          <w:iCs/>
        </w:rPr>
        <w:t xml:space="preserve"> ed., </w:t>
      </w:r>
      <w:r w:rsidRPr="00EA0E8D">
        <w:rPr>
          <w:bCs/>
          <w:i/>
          <w:iCs/>
        </w:rPr>
        <w:t>lesbian, gay and bisexual issues</w:t>
      </w:r>
      <w:r>
        <w:rPr>
          <w:bCs/>
          <w:i/>
          <w:iCs/>
        </w:rPr>
        <w:t xml:space="preserve">, </w:t>
      </w:r>
      <w:r w:rsidRPr="00EA0E8D">
        <w:rPr>
          <w:bCs/>
          <w:iCs/>
        </w:rPr>
        <w:t>p. 245.</w:t>
      </w:r>
      <w:r>
        <w:rPr>
          <w:bCs/>
          <w:iCs/>
        </w:rPr>
        <w:t xml:space="preserve">  Washington, DC:  Author.</w:t>
      </w:r>
    </w:p>
    <w:p w:rsidR="002278E2" w:rsidRDefault="002278E2" w:rsidP="002278E2">
      <w:pPr>
        <w:ind w:left="720" w:hanging="720"/>
        <w:rPr>
          <w:bCs/>
          <w:i/>
          <w:iCs/>
        </w:rPr>
      </w:pPr>
    </w:p>
    <w:p w:rsidR="002278E2" w:rsidRDefault="002278E2" w:rsidP="002278E2">
      <w:pPr>
        <w:ind w:left="720" w:hanging="720"/>
        <w:rPr>
          <w:bCs/>
        </w:rPr>
      </w:pPr>
      <w:proofErr w:type="spellStart"/>
      <w:proofErr w:type="gramStart"/>
      <w:r w:rsidRPr="000A5811">
        <w:rPr>
          <w:bCs/>
          <w:i/>
          <w:iCs/>
        </w:rPr>
        <w:t>Varnum</w:t>
      </w:r>
      <w:proofErr w:type="spellEnd"/>
      <w:r w:rsidRPr="000A5811">
        <w:rPr>
          <w:bCs/>
          <w:i/>
          <w:iCs/>
        </w:rPr>
        <w:t xml:space="preserve"> v. Brien</w:t>
      </w:r>
      <w:r w:rsidRPr="000A5811">
        <w:rPr>
          <w:bCs/>
        </w:rPr>
        <w:t>, No.</w:t>
      </w:r>
      <w:proofErr w:type="gramEnd"/>
      <w:r w:rsidRPr="000A5811">
        <w:rPr>
          <w:bCs/>
        </w:rPr>
        <w:t xml:space="preserve"> CV5965, (5th D. Iowa Aug. 30, 2007) (Ruling on Pls.’ and </w:t>
      </w:r>
      <w:proofErr w:type="spellStart"/>
      <w:r w:rsidRPr="000A5811">
        <w:rPr>
          <w:bCs/>
        </w:rPr>
        <w:t>Def.’s</w:t>
      </w:r>
      <w:proofErr w:type="spellEnd"/>
      <w:r w:rsidRPr="000A5811">
        <w:rPr>
          <w:bCs/>
        </w:rPr>
        <w:t xml:space="preserve"> </w:t>
      </w:r>
      <w:proofErr w:type="spellStart"/>
      <w:r w:rsidRPr="000A5811">
        <w:rPr>
          <w:bCs/>
        </w:rPr>
        <w:t>Mots</w:t>
      </w:r>
      <w:proofErr w:type="spellEnd"/>
      <w:r w:rsidRPr="000A5811">
        <w:rPr>
          <w:bCs/>
        </w:rPr>
        <w:t xml:space="preserve">. </w:t>
      </w:r>
      <w:proofErr w:type="gramStart"/>
      <w:r w:rsidRPr="000A5811">
        <w:rPr>
          <w:bCs/>
        </w:rPr>
        <w:t xml:space="preserve">For </w:t>
      </w:r>
      <w:proofErr w:type="spellStart"/>
      <w:r w:rsidRPr="000A5811">
        <w:rPr>
          <w:bCs/>
        </w:rPr>
        <w:t>Summ</w:t>
      </w:r>
      <w:proofErr w:type="spellEnd"/>
      <w:r w:rsidRPr="000A5811">
        <w:rPr>
          <w:bCs/>
        </w:rPr>
        <w:t>.</w:t>
      </w:r>
      <w:proofErr w:type="gramEnd"/>
      <w:r w:rsidRPr="000A5811">
        <w:rPr>
          <w:bCs/>
        </w:rPr>
        <w:t xml:space="preserve"> </w:t>
      </w:r>
      <w:proofErr w:type="gramStart"/>
      <w:r w:rsidRPr="000A5811">
        <w:rPr>
          <w:bCs/>
        </w:rPr>
        <w:t>J. at page 48).</w:t>
      </w:r>
      <w:proofErr w:type="gramEnd"/>
    </w:p>
    <w:p w:rsidR="002278E2" w:rsidRDefault="002278E2" w:rsidP="002278E2">
      <w:pPr>
        <w:ind w:left="720" w:hanging="720"/>
        <w:rPr>
          <w:bCs/>
        </w:rPr>
      </w:pPr>
    </w:p>
    <w:p w:rsidR="002278E2" w:rsidRPr="00EA0E8D" w:rsidRDefault="002278E2" w:rsidP="002278E2">
      <w:pPr>
        <w:rPr>
          <w:bCs/>
          <w:i/>
        </w:rPr>
      </w:pPr>
      <w:proofErr w:type="spellStart"/>
      <w:r w:rsidRPr="00EA0E8D">
        <w:rPr>
          <w:bCs/>
          <w:i/>
          <w:iCs/>
        </w:rPr>
        <w:t>Varnum</w:t>
      </w:r>
      <w:proofErr w:type="spellEnd"/>
      <w:r w:rsidRPr="00EA0E8D">
        <w:rPr>
          <w:bCs/>
          <w:i/>
          <w:iCs/>
        </w:rPr>
        <w:t xml:space="preserve"> v. Brien</w:t>
      </w:r>
      <w:r w:rsidRPr="00EA0E8D">
        <w:rPr>
          <w:bCs/>
        </w:rPr>
        <w:t xml:space="preserve">, No. 07-1499 (Iowa </w:t>
      </w:r>
      <w:r>
        <w:rPr>
          <w:bCs/>
        </w:rPr>
        <w:t>Aug</w:t>
      </w:r>
      <w:r w:rsidRPr="00EA0E8D">
        <w:rPr>
          <w:bCs/>
        </w:rPr>
        <w:t>ust 31, 2007).</w:t>
      </w:r>
    </w:p>
    <w:p w:rsidR="002278E2" w:rsidRPr="00247B1C" w:rsidRDefault="002278E2" w:rsidP="002278E2">
      <w:pPr>
        <w:ind w:left="720" w:hanging="720"/>
      </w:pPr>
    </w:p>
    <w:p w:rsidR="002278E2" w:rsidRPr="000A5811" w:rsidRDefault="002278E2" w:rsidP="002278E2">
      <w:pPr>
        <w:rPr>
          <w:b/>
        </w:rPr>
      </w:pPr>
      <w:r w:rsidRPr="000A5811">
        <w:rPr>
          <w:b/>
        </w:rPr>
        <w:t>Resources</w:t>
      </w:r>
    </w:p>
    <w:p w:rsidR="002278E2" w:rsidRDefault="002278E2" w:rsidP="002278E2">
      <w:pPr>
        <w:ind w:left="720" w:hanging="720"/>
      </w:pPr>
      <w:r>
        <w:t xml:space="preserve">National Association of Social Workers (March 2004).  </w:t>
      </w:r>
      <w:proofErr w:type="gramStart"/>
      <w:r w:rsidRPr="00446B5A">
        <w:rPr>
          <w:i/>
        </w:rPr>
        <w:t>Same-</w:t>
      </w:r>
      <w:r>
        <w:rPr>
          <w:i/>
        </w:rPr>
        <w:t>s</w:t>
      </w:r>
      <w:r w:rsidRPr="00446B5A">
        <w:rPr>
          <w:i/>
        </w:rPr>
        <w:t xml:space="preserve">ex </w:t>
      </w:r>
      <w:r>
        <w:rPr>
          <w:i/>
        </w:rPr>
        <w:t>m</w:t>
      </w:r>
      <w:r w:rsidRPr="00446B5A">
        <w:rPr>
          <w:i/>
        </w:rPr>
        <w:t xml:space="preserve">arriage -- </w:t>
      </w:r>
      <w:r>
        <w:rPr>
          <w:i/>
        </w:rPr>
        <w:t>f</w:t>
      </w:r>
      <w:r w:rsidRPr="00446B5A">
        <w:rPr>
          <w:i/>
        </w:rPr>
        <w:t xml:space="preserve">act </w:t>
      </w:r>
      <w:r>
        <w:rPr>
          <w:i/>
        </w:rPr>
        <w:t>s</w:t>
      </w:r>
      <w:r w:rsidRPr="00446B5A">
        <w:rPr>
          <w:i/>
        </w:rPr>
        <w:t>heet</w:t>
      </w:r>
      <w:r>
        <w:t>.</w:t>
      </w:r>
      <w:proofErr w:type="gramEnd"/>
      <w:r>
        <w:t xml:space="preserve">  Washington, DC:  Author.  </w:t>
      </w:r>
      <w:proofErr w:type="gramStart"/>
      <w:r>
        <w:t>[Online].</w:t>
      </w:r>
      <w:proofErr w:type="gramEnd"/>
      <w:r>
        <w:t xml:space="preserve">  </w:t>
      </w:r>
      <w:proofErr w:type="gramStart"/>
      <w:r>
        <w:t xml:space="preserve">Available at </w:t>
      </w:r>
      <w:hyperlink r:id="rId10" w:history="1">
        <w:r w:rsidRPr="00BF47CD">
          <w:rPr>
            <w:rStyle w:val="Hyperlink"/>
          </w:rPr>
          <w:t>http://www.socialworkers.org/diversity/lgb/SameSex-FactSheets.pdf</w:t>
        </w:r>
      </w:hyperlink>
      <w:r>
        <w:t>.</w:t>
      </w:r>
      <w:proofErr w:type="gramEnd"/>
    </w:p>
    <w:p w:rsidR="002278E2" w:rsidRDefault="002278E2" w:rsidP="002278E2">
      <w:pPr>
        <w:ind w:left="720" w:hanging="720"/>
      </w:pPr>
    </w:p>
    <w:p w:rsidR="002278E2" w:rsidRDefault="002278E2" w:rsidP="002278E2">
      <w:pPr>
        <w:ind w:left="720" w:hanging="720"/>
      </w:pPr>
      <w:r>
        <w:t xml:space="preserve">Webb, R. (2005).  </w:t>
      </w:r>
      <w:r w:rsidRPr="00446B5A">
        <w:rPr>
          <w:i/>
        </w:rPr>
        <w:t xml:space="preserve">Overview of </w:t>
      </w:r>
      <w:r>
        <w:rPr>
          <w:i/>
        </w:rPr>
        <w:t>s</w:t>
      </w:r>
      <w:r w:rsidRPr="00446B5A">
        <w:rPr>
          <w:i/>
        </w:rPr>
        <w:t xml:space="preserve">ame </w:t>
      </w:r>
      <w:r>
        <w:rPr>
          <w:i/>
        </w:rPr>
        <w:t>s</w:t>
      </w:r>
      <w:r w:rsidRPr="00446B5A">
        <w:rPr>
          <w:i/>
        </w:rPr>
        <w:t xml:space="preserve">ex </w:t>
      </w:r>
      <w:r>
        <w:rPr>
          <w:i/>
        </w:rPr>
        <w:t>m</w:t>
      </w:r>
      <w:r w:rsidRPr="00446B5A">
        <w:rPr>
          <w:i/>
        </w:rPr>
        <w:t xml:space="preserve">arriage in the U.S.: </w:t>
      </w:r>
      <w:r>
        <w:rPr>
          <w:i/>
        </w:rPr>
        <w:t xml:space="preserve"> T</w:t>
      </w:r>
      <w:r w:rsidRPr="00446B5A">
        <w:rPr>
          <w:i/>
        </w:rPr>
        <w:t xml:space="preserve">he </w:t>
      </w:r>
      <w:r>
        <w:rPr>
          <w:i/>
        </w:rPr>
        <w:t>s</w:t>
      </w:r>
      <w:r w:rsidRPr="00446B5A">
        <w:rPr>
          <w:i/>
        </w:rPr>
        <w:t xml:space="preserve">truggle for </w:t>
      </w:r>
      <w:r>
        <w:rPr>
          <w:i/>
        </w:rPr>
        <w:t>c</w:t>
      </w:r>
      <w:r w:rsidRPr="00446B5A">
        <w:rPr>
          <w:i/>
        </w:rPr>
        <w:t xml:space="preserve">ivil </w:t>
      </w:r>
      <w:r>
        <w:rPr>
          <w:i/>
        </w:rPr>
        <w:t>r</w:t>
      </w:r>
      <w:r w:rsidRPr="00446B5A">
        <w:rPr>
          <w:i/>
        </w:rPr>
        <w:t xml:space="preserve">ights and </w:t>
      </w:r>
      <w:r>
        <w:rPr>
          <w:i/>
        </w:rPr>
        <w:t>e</w:t>
      </w:r>
      <w:r w:rsidRPr="00446B5A">
        <w:rPr>
          <w:i/>
        </w:rPr>
        <w:t>quality</w:t>
      </w:r>
      <w:r>
        <w:rPr>
          <w:i/>
        </w:rPr>
        <w:t xml:space="preserve">. </w:t>
      </w:r>
      <w:proofErr w:type="gramStart"/>
      <w:r w:rsidRPr="00446B5A">
        <w:t>National Association of Social Workers.</w:t>
      </w:r>
      <w:proofErr w:type="gramEnd"/>
      <w:r w:rsidRPr="00446B5A">
        <w:t xml:space="preserve">  Washington, DC: </w:t>
      </w:r>
      <w:r>
        <w:t xml:space="preserve"> </w:t>
      </w:r>
      <w:r w:rsidRPr="00446B5A">
        <w:t xml:space="preserve">Author. </w:t>
      </w:r>
      <w:r>
        <w:t xml:space="preserve"> </w:t>
      </w:r>
      <w:proofErr w:type="gramStart"/>
      <w:r w:rsidRPr="00446B5A">
        <w:t>[Online]</w:t>
      </w:r>
      <w:r>
        <w:t>.</w:t>
      </w:r>
      <w:proofErr w:type="gramEnd"/>
      <w:r w:rsidRPr="00446B5A">
        <w:t xml:space="preserve">  </w:t>
      </w:r>
      <w:proofErr w:type="gramStart"/>
      <w:r w:rsidRPr="00446B5A">
        <w:t xml:space="preserve">Available at </w:t>
      </w:r>
      <w:hyperlink r:id="rId11" w:history="1">
        <w:r w:rsidRPr="00BF47CD">
          <w:rPr>
            <w:rStyle w:val="Hyperlink"/>
          </w:rPr>
          <w:t>http://www.socialworkers.org/diversity/lgb/062005.asp</w:t>
        </w:r>
      </w:hyperlink>
      <w:r>
        <w:t>.</w:t>
      </w:r>
      <w:proofErr w:type="gramEnd"/>
    </w:p>
    <w:p w:rsidR="002278E2" w:rsidRDefault="002278E2" w:rsidP="002278E2">
      <w:pPr>
        <w:ind w:left="720" w:hanging="720"/>
      </w:pPr>
    </w:p>
    <w:p w:rsidR="002278E2" w:rsidRDefault="002278E2" w:rsidP="002278E2">
      <w:pPr>
        <w:ind w:left="720" w:hanging="720"/>
      </w:pPr>
    </w:p>
    <w:p w:rsidR="002278E2" w:rsidRDefault="002278E2" w:rsidP="002278E2"/>
    <w:p w:rsidR="00B87EA5" w:rsidRPr="002278E2" w:rsidRDefault="00B87EA5" w:rsidP="002278E2"/>
    <w:sectPr w:rsidR="00B87EA5" w:rsidRPr="002278E2" w:rsidSect="00B05311">
      <w:headerReference w:type="even" r:id="rId12"/>
      <w:headerReference w:type="default" r:id="rId13"/>
      <w:footerReference w:type="even" r:id="rId14"/>
      <w:footerReference w:type="default" r:id="rId15"/>
      <w:headerReference w:type="first" r:id="rId16"/>
      <w:footerReference w:type="first" r:id="rId17"/>
      <w:pgSz w:w="12240" w:h="15840"/>
      <w:pgMar w:top="1440" w:right="900" w:bottom="1440" w:left="99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214" w:rsidRDefault="00D92214">
      <w:r>
        <w:separator/>
      </w:r>
    </w:p>
  </w:endnote>
  <w:endnote w:type="continuationSeparator" w:id="1">
    <w:p w:rsidR="00D92214" w:rsidRDefault="00D922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248" w:rsidRDefault="00BB12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248" w:rsidRDefault="00B05311">
    <w:pPr>
      <w:pStyle w:val="Footer"/>
    </w:pPr>
    <w:r>
      <w:pict>
        <v:line id="_x0000_s1027" style="position:absolute;z-index:-251658752;mso-wrap-edited:f;mso-position-horizontal-relative:margin;mso-position-vertical-relative:page" from="-2.7pt,738.2pt" to="519.3pt,738.2pt" wrapcoords="-62 -2147483648 -62 -2147483648 21662 -2147483648 21662 -2147483648 -62 -2147483648" o:allowoverlap="f" strokecolor="teal" strokeweight="1.5pt">
          <w10:wrap anchorx="margin" anchory="page"/>
        </v:line>
      </w:pict>
    </w:r>
    <w:r w:rsidR="00BB1248">
      <w:tab/>
    </w:r>
  </w:p>
  <w:p w:rsidR="00BB1248" w:rsidRPr="00C70D0A" w:rsidRDefault="00BB1248" w:rsidP="00B87EA5">
    <w:pPr>
      <w:pStyle w:val="Footer"/>
      <w:jc w:val="center"/>
      <w:rPr>
        <w:rFonts w:ascii="Helvetica" w:hAnsi="Helvetica"/>
        <w:sz w:val="18"/>
      </w:rPr>
    </w:pPr>
    <w:r w:rsidRPr="00C70D0A">
      <w:rPr>
        <w:rFonts w:ascii="Helvetica" w:hAnsi="Helvetica"/>
        <w:sz w:val="18"/>
      </w:rPr>
      <w:t xml:space="preserve">- </w:t>
    </w:r>
    <w:r w:rsidR="00B05311" w:rsidRPr="00C70D0A">
      <w:rPr>
        <w:sz w:val="18"/>
      </w:rPr>
      <w:fldChar w:fldCharType="begin"/>
    </w:r>
    <w:r w:rsidRPr="00C70D0A">
      <w:rPr>
        <w:rFonts w:ascii="Helvetica" w:hAnsi="Helvetica"/>
        <w:sz w:val="18"/>
      </w:rPr>
      <w:instrText xml:space="preserve"> PAGE </w:instrText>
    </w:r>
    <w:r w:rsidR="00B05311" w:rsidRPr="00C70D0A">
      <w:rPr>
        <w:sz w:val="18"/>
      </w:rPr>
      <w:fldChar w:fldCharType="separate"/>
    </w:r>
    <w:r w:rsidR="008D0414">
      <w:rPr>
        <w:rFonts w:ascii="Helvetica" w:hAnsi="Helvetica"/>
        <w:noProof/>
        <w:sz w:val="18"/>
      </w:rPr>
      <w:t>4</w:t>
    </w:r>
    <w:r w:rsidR="00B05311" w:rsidRPr="00C70D0A">
      <w:rPr>
        <w:sz w:val="18"/>
      </w:rPr>
      <w:fldChar w:fldCharType="end"/>
    </w:r>
    <w:r w:rsidRPr="00C70D0A">
      <w:rPr>
        <w:rFonts w:ascii="Helvetica" w:hAnsi="Helvetica"/>
        <w:sz w:val="1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248" w:rsidRDefault="00B05311" w:rsidP="00B87EA5">
    <w:pPr>
      <w:pStyle w:val="Footer"/>
      <w:tabs>
        <w:tab w:val="center" w:pos="5220"/>
        <w:tab w:val="left" w:pos="6920"/>
      </w:tabs>
      <w:ind w:right="-90"/>
      <w:rPr>
        <w:sz w:val="20"/>
      </w:rPr>
    </w:pPr>
    <w:r>
      <w:rPr>
        <w:sz w:val="20"/>
      </w:rPr>
      <w:pict>
        <v:line id="_x0000_s1025" style="position:absolute;z-index:251656704" from="-.45pt,6.7pt" to="521.55pt,6.7pt" strokecolor="teal" strokeweight="1.5pt"/>
      </w:pict>
    </w:r>
    <w:r w:rsidR="00BB1248">
      <w:rPr>
        <w:sz w:val="20"/>
      </w:rPr>
      <w:tab/>
    </w:r>
    <w:r w:rsidR="00BB1248">
      <w:rPr>
        <w:sz w:val="20"/>
      </w:rPr>
      <w:tab/>
    </w:r>
    <w:r w:rsidR="00BB1248">
      <w:rPr>
        <w:sz w:val="20"/>
      </w:rPr>
      <w:tab/>
    </w:r>
  </w:p>
  <w:p w:rsidR="00BB1248" w:rsidRPr="00C70D0A" w:rsidRDefault="00BB1248" w:rsidP="00B87EA5">
    <w:pPr>
      <w:pStyle w:val="Footer"/>
      <w:tabs>
        <w:tab w:val="clear" w:pos="4320"/>
        <w:tab w:val="center" w:pos="5220"/>
      </w:tabs>
      <w:spacing w:line="220" w:lineRule="exact"/>
      <w:ind w:right="360"/>
      <w:jc w:val="center"/>
      <w:rPr>
        <w:rFonts w:ascii="Helvetica" w:hAnsi="Helvetica"/>
        <w:sz w:val="16"/>
      </w:rPr>
    </w:pPr>
    <w:r w:rsidRPr="00C70D0A">
      <w:rPr>
        <w:rFonts w:ascii="Helvetica" w:hAnsi="Helvetica"/>
        <w:sz w:val="16"/>
      </w:rPr>
      <w:t xml:space="preserve">750 First Street NE, Suite 700, Washington, DC 20002-4241 • (202) </w:t>
    </w:r>
    <w:r w:rsidRPr="00C70D0A">
      <w:rPr>
        <w:rFonts w:ascii="Helvetica" w:hAnsi="Helvetica"/>
        <w:color w:val="000000"/>
        <w:sz w:val="16"/>
      </w:rPr>
      <w:t>408-8600 • FAX (202) 336-8280 • www.socialworkers.org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214" w:rsidRDefault="00D92214">
      <w:r>
        <w:separator/>
      </w:r>
    </w:p>
  </w:footnote>
  <w:footnote w:type="continuationSeparator" w:id="1">
    <w:p w:rsidR="00D92214" w:rsidRDefault="00D92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248" w:rsidRDefault="00BB12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248" w:rsidRDefault="00B05311">
    <w:pPr>
      <w:pStyle w:val="Header"/>
    </w:pPr>
    <w:r>
      <w:pict>
        <v:line id="_x0000_s1028" style="position:absolute;z-index:251658752" from="-.45pt,9.2pt" to="521.55pt,9.2pt" strokecolor="teal" strokeweight="1.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248" w:rsidRPr="00D13E5A" w:rsidRDefault="00B05311" w:rsidP="00B87EA5">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25.25pt">
          <v:imagedata r:id="rId1" o:title="LDF-Header 35_2"/>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B3413"/>
    <w:multiLevelType w:val="hybridMultilevel"/>
    <w:tmpl w:val="0200F9FA"/>
    <w:lvl w:ilvl="0" w:tplc="D8B2AC54">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000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7EA5"/>
    <w:rsid w:val="002278E2"/>
    <w:rsid w:val="0027540D"/>
    <w:rsid w:val="004B71F8"/>
    <w:rsid w:val="0078540E"/>
    <w:rsid w:val="008D0414"/>
    <w:rsid w:val="009D6CC7"/>
    <w:rsid w:val="00B05311"/>
    <w:rsid w:val="00B87EA5"/>
    <w:rsid w:val="00BB1248"/>
    <w:rsid w:val="00D922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31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5311"/>
    <w:pPr>
      <w:tabs>
        <w:tab w:val="center" w:pos="4320"/>
        <w:tab w:val="right" w:pos="8640"/>
      </w:tabs>
    </w:pPr>
  </w:style>
  <w:style w:type="paragraph" w:styleId="Footer">
    <w:name w:val="footer"/>
    <w:basedOn w:val="Normal"/>
    <w:rsid w:val="00B05311"/>
    <w:pPr>
      <w:tabs>
        <w:tab w:val="center" w:pos="4320"/>
        <w:tab w:val="right" w:pos="8640"/>
      </w:tabs>
    </w:pPr>
  </w:style>
  <w:style w:type="character" w:styleId="Hyperlink">
    <w:name w:val="Hyperlink"/>
    <w:basedOn w:val="DefaultParagraphFont"/>
    <w:rsid w:val="00B05311"/>
    <w:rPr>
      <w:color w:val="0000FF"/>
      <w:u w:val="single"/>
    </w:rPr>
  </w:style>
  <w:style w:type="character" w:styleId="FollowedHyperlink">
    <w:name w:val="FollowedHyperlink"/>
    <w:basedOn w:val="DefaultParagraphFont"/>
    <w:rsid w:val="00B05311"/>
    <w:rPr>
      <w:color w:val="800080"/>
      <w:u w:val="single"/>
    </w:rPr>
  </w:style>
  <w:style w:type="character" w:styleId="FootnoteReference">
    <w:name w:val="footnote reference"/>
    <w:basedOn w:val="DefaultParagraphFont"/>
    <w:semiHidden/>
    <w:rsid w:val="0027540D"/>
    <w:rPr>
      <w:vertAlign w:val="superscript"/>
    </w:rPr>
  </w:style>
  <w:style w:type="table" w:styleId="TableGrid">
    <w:name w:val="Table Grid"/>
    <w:basedOn w:val="TableNormal"/>
    <w:rsid w:val="00275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oupheading2">
    <w:name w:val="groupheading2"/>
    <w:basedOn w:val="DefaultParagraphFont"/>
    <w:rsid w:val="0027540D"/>
    <w:rPr>
      <w:rFonts w:ascii="Verdana" w:hAnsi="Verdana" w:hint="default"/>
      <w:b/>
      <w:bCs/>
      <w:sz w:val="19"/>
      <w:szCs w:val="19"/>
    </w:rPr>
  </w:style>
  <w:style w:type="character" w:customStyle="1" w:styleId="documentbody1">
    <w:name w:val="documentbody1"/>
    <w:basedOn w:val="DefaultParagraphFont"/>
    <w:rsid w:val="002278E2"/>
    <w:rPr>
      <w:rFonts w:ascii="Verdana" w:hAnsi="Verdana" w:hint="default"/>
      <w:sz w:val="19"/>
      <w:szCs w:val="19"/>
    </w:rPr>
  </w:style>
  <w:style w:type="character" w:customStyle="1" w:styleId="informationalsmall3">
    <w:name w:val="informationalsmall3"/>
    <w:basedOn w:val="DefaultParagraphFont"/>
    <w:rsid w:val="002278E2"/>
    <w:rPr>
      <w:rFonts w:ascii="Verdana" w:hAnsi="Verdana" w:hint="default"/>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alworkers.org/pubs/code/code.as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s.ca.gov/elections/elections_j_060208.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cialworkers.org/diversity/lgb/062005.as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ocialworkers.org/diversity/lgb/SameSex-FactSheet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ocialworkers.org/diversity/lgb/062804.asp"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organ\Local%20Settings\Temporary%20Internet%20Files\OLK20\LDF-Anniversary35Letterhead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LDF-Anniversary35Letterhead3</Template>
  <TotalTime>0</TotalTime>
  <Pages>4</Pages>
  <Words>1665</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NASW</Company>
  <LinksUpToDate>false</LinksUpToDate>
  <CharactersWithSpaces>11504</CharactersWithSpaces>
  <SharedDoc>false</SharedDoc>
  <HLinks>
    <vt:vector size="6" baseType="variant">
      <vt:variant>
        <vt:i4>4259891</vt:i4>
      </vt:variant>
      <vt:variant>
        <vt:i4>0</vt:i4>
      </vt:variant>
      <vt:variant>
        <vt:i4>0</vt:i4>
      </vt:variant>
      <vt:variant>
        <vt:i4>5</vt:i4>
      </vt:variant>
      <vt:variant>
        <vt:lpwstr>http://www.socialworkers.org/ldf/legal_issue/default.asp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smorgan</dc:creator>
  <cp:keywords/>
  <cp:lastModifiedBy>smorgan</cp:lastModifiedBy>
  <cp:revision>2</cp:revision>
  <cp:lastPrinted>2007-11-07T14:09:00Z</cp:lastPrinted>
  <dcterms:created xsi:type="dcterms:W3CDTF">2008-07-15T18:25:00Z</dcterms:created>
  <dcterms:modified xsi:type="dcterms:W3CDTF">2008-07-15T18:25:00Z</dcterms:modified>
</cp:coreProperties>
</file>